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D42" w:rsidRPr="00800466" w:rsidRDefault="007B6094" w:rsidP="00D13D42">
      <w:pPr>
        <w:jc w:val="righ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                                       </w:t>
      </w:r>
    </w:p>
    <w:p w:rsidR="00D13D42" w:rsidRDefault="006471AF" w:rsidP="00E14899">
      <w:pPr>
        <w:spacing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Progress Report on the development of a Provincial Executive Compensation </w:t>
      </w:r>
      <w:r w:rsidR="005B7DBF">
        <w:rPr>
          <w:rFonts w:cs="Arial"/>
          <w:b/>
          <w:sz w:val="28"/>
          <w:szCs w:val="28"/>
        </w:rPr>
        <w:t>F</w:t>
      </w:r>
      <w:r>
        <w:rPr>
          <w:rFonts w:cs="Arial"/>
          <w:b/>
          <w:sz w:val="28"/>
          <w:szCs w:val="28"/>
        </w:rPr>
        <w:t>ramework for School Boards, Compliant with the Broader Public Sector Executive Compensation Act &amp; Regulation</w:t>
      </w:r>
    </w:p>
    <w:p w:rsidR="00122917" w:rsidRPr="00D240AA" w:rsidRDefault="00D240AA" w:rsidP="00D13D42">
      <w:pPr>
        <w:rPr>
          <w:b/>
          <w:sz w:val="24"/>
          <w:szCs w:val="24"/>
          <w:u w:val="single"/>
          <w:lang w:val="en-CA"/>
        </w:rPr>
      </w:pPr>
      <w:r w:rsidRPr="00D240AA">
        <w:rPr>
          <w:b/>
          <w:sz w:val="24"/>
          <w:szCs w:val="24"/>
          <w:u w:val="single"/>
          <w:lang w:val="en-CA"/>
        </w:rPr>
        <w:t>Background</w:t>
      </w:r>
    </w:p>
    <w:p w:rsidR="00D13D42" w:rsidRDefault="006471AF" w:rsidP="00D13D42">
      <w:pPr>
        <w:rPr>
          <w:lang w:val="en-CA"/>
        </w:rPr>
      </w:pPr>
      <w:r>
        <w:rPr>
          <w:lang w:val="en-CA"/>
        </w:rPr>
        <w:t xml:space="preserve">The four publicly funded school systems agreed to work together with a Steering Committee </w:t>
      </w:r>
      <w:r w:rsidR="00D13D42">
        <w:rPr>
          <w:lang w:val="en-CA"/>
        </w:rPr>
        <w:t xml:space="preserve">to create a </w:t>
      </w:r>
      <w:r>
        <w:rPr>
          <w:lang w:val="en-CA"/>
        </w:rPr>
        <w:t xml:space="preserve">provincial executive compensation </w:t>
      </w:r>
      <w:r w:rsidR="007179D0">
        <w:rPr>
          <w:lang w:val="en-CA"/>
        </w:rPr>
        <w:t>framework</w:t>
      </w:r>
      <w:r w:rsidR="00D622B1">
        <w:rPr>
          <w:lang w:val="en-CA"/>
        </w:rPr>
        <w:t xml:space="preserve">. This framework </w:t>
      </w:r>
      <w:r w:rsidR="00D13D42">
        <w:rPr>
          <w:lang w:val="en-CA"/>
        </w:rPr>
        <w:t xml:space="preserve">would support member boards in the process of meeting the compliance </w:t>
      </w:r>
      <w:r>
        <w:rPr>
          <w:lang w:val="en-CA"/>
        </w:rPr>
        <w:t xml:space="preserve">requirements and </w:t>
      </w:r>
      <w:r w:rsidR="00E75A58">
        <w:rPr>
          <w:lang w:val="en-CA"/>
        </w:rPr>
        <w:t>deadline</w:t>
      </w:r>
      <w:r w:rsidR="00D13D42">
        <w:rPr>
          <w:lang w:val="en-CA"/>
        </w:rPr>
        <w:t xml:space="preserve"> of September 2017 </w:t>
      </w:r>
      <w:r w:rsidR="00E75A58">
        <w:rPr>
          <w:lang w:val="en-CA"/>
        </w:rPr>
        <w:t>legislated</w:t>
      </w:r>
      <w:r w:rsidR="00D13D42">
        <w:rPr>
          <w:lang w:val="en-CA"/>
        </w:rPr>
        <w:t xml:space="preserve"> in the Broader Public Sector Executive Compensation Act 2014. </w:t>
      </w:r>
      <w:r w:rsidR="00E75A58">
        <w:rPr>
          <w:lang w:val="en-CA"/>
        </w:rPr>
        <w:t>Since that time, also released from the Treasury were an</w:t>
      </w:r>
      <w:r w:rsidR="00D13D42">
        <w:rPr>
          <w:lang w:val="en-CA"/>
        </w:rPr>
        <w:t xml:space="preserve"> Executive Compensation Framework Regulation</w:t>
      </w:r>
      <w:r w:rsidR="00E75A58">
        <w:rPr>
          <w:lang w:val="en-CA"/>
        </w:rPr>
        <w:t>, an</w:t>
      </w:r>
      <w:r w:rsidR="00D13D42">
        <w:rPr>
          <w:lang w:val="en-CA"/>
        </w:rPr>
        <w:t xml:space="preserve"> Executive Compensation Guide </w:t>
      </w:r>
      <w:r w:rsidR="00E75A58">
        <w:rPr>
          <w:lang w:val="en-CA"/>
        </w:rPr>
        <w:t>(September 2016) and a Compliance Directive (January 2017).</w:t>
      </w:r>
    </w:p>
    <w:p w:rsidR="00E75A58" w:rsidRDefault="00E75A58" w:rsidP="00D13D42">
      <w:pPr>
        <w:rPr>
          <w:lang w:val="en-CA"/>
        </w:rPr>
      </w:pPr>
    </w:p>
    <w:p w:rsidR="00E75A58" w:rsidRDefault="00E75A58" w:rsidP="00D13D42">
      <w:pPr>
        <w:jc w:val="both"/>
        <w:rPr>
          <w:lang w:val="en-GB"/>
        </w:rPr>
      </w:pPr>
      <w:r>
        <w:rPr>
          <w:lang w:val="en-GB"/>
        </w:rPr>
        <w:t xml:space="preserve">A Steering Committee </w:t>
      </w:r>
      <w:r w:rsidR="005B7DBF">
        <w:rPr>
          <w:lang w:val="en-GB"/>
        </w:rPr>
        <w:t xml:space="preserve">was established </w:t>
      </w:r>
      <w:r>
        <w:rPr>
          <w:lang w:val="en-GB"/>
        </w:rPr>
        <w:t>composed of representatives from the leadership in the four publicly funded school systems</w:t>
      </w:r>
      <w:r w:rsidR="00F009D2">
        <w:rPr>
          <w:lang w:val="en-GB"/>
        </w:rPr>
        <w:t xml:space="preserve"> through their various Associations</w:t>
      </w:r>
      <w:r>
        <w:rPr>
          <w:lang w:val="en-GB"/>
        </w:rPr>
        <w:t>, including directors of education, supervisory officers and trustees.  Working with an external third party expert in employee compensation programs</w:t>
      </w:r>
      <w:r w:rsidR="00E20C44">
        <w:rPr>
          <w:lang w:val="en-GB"/>
        </w:rPr>
        <w:t>, the focus of the Steering C</w:t>
      </w:r>
      <w:r>
        <w:rPr>
          <w:lang w:val="en-GB"/>
        </w:rPr>
        <w:t xml:space="preserve">ommittee is to develop a provincial executive compensation framework for school boards that is based on the principles of effective compensation management and meets the requirements of the legislation and regulations. </w:t>
      </w:r>
    </w:p>
    <w:p w:rsidR="00E75A58" w:rsidRDefault="00E75A58" w:rsidP="00D13D42">
      <w:pPr>
        <w:jc w:val="both"/>
        <w:rPr>
          <w:lang w:val="en-GB"/>
        </w:rPr>
      </w:pPr>
    </w:p>
    <w:p w:rsidR="00D13D42" w:rsidRDefault="00E75A58" w:rsidP="00D13D42">
      <w:pPr>
        <w:jc w:val="both"/>
        <w:rPr>
          <w:lang w:val="en-GB"/>
        </w:rPr>
      </w:pPr>
      <w:r>
        <w:rPr>
          <w:lang w:val="en-GB"/>
        </w:rPr>
        <w:t xml:space="preserve">The Steering Committee </w:t>
      </w:r>
      <w:r w:rsidR="00D13D42">
        <w:rPr>
          <w:lang w:val="en-GB"/>
        </w:rPr>
        <w:t>agreed to the following considerations and guiding principles, that would be used to guide the development of a provincial Executive Compensation Framework for use at the local level to produce locally driven public sector comparators and salary ranges</w:t>
      </w:r>
      <w:r w:rsidR="00445334">
        <w:rPr>
          <w:lang w:val="en-GB"/>
        </w:rPr>
        <w:t>:</w:t>
      </w:r>
      <w:r w:rsidR="00D13D42">
        <w:rPr>
          <w:lang w:val="en-GB"/>
        </w:rPr>
        <w:t xml:space="preserve"> </w:t>
      </w:r>
    </w:p>
    <w:p w:rsidR="00D13D42" w:rsidRDefault="00D13D42" w:rsidP="00D13D42">
      <w:pPr>
        <w:jc w:val="both"/>
        <w:rPr>
          <w:u w:val="single"/>
          <w:lang w:val="en-GB"/>
        </w:rPr>
      </w:pPr>
    </w:p>
    <w:p w:rsidR="00D13D42" w:rsidRDefault="00D13D42" w:rsidP="00D13D42">
      <w:pPr>
        <w:jc w:val="both"/>
        <w:rPr>
          <w:lang w:val="en-GB"/>
        </w:rPr>
      </w:pPr>
      <w:r>
        <w:rPr>
          <w:u w:val="single"/>
          <w:lang w:val="en-GB"/>
        </w:rPr>
        <w:t>Considerations</w:t>
      </w:r>
    </w:p>
    <w:p w:rsidR="00D13D42" w:rsidRDefault="00D13D42" w:rsidP="00D13D42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Equity,</w:t>
      </w:r>
    </w:p>
    <w:p w:rsidR="00D13D42" w:rsidRDefault="00D13D42" w:rsidP="00D13D42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Flexibility,</w:t>
      </w:r>
    </w:p>
    <w:p w:rsidR="00D13D42" w:rsidRDefault="00D13D42" w:rsidP="00D13D42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Transparency and;</w:t>
      </w:r>
    </w:p>
    <w:p w:rsidR="00D13D42" w:rsidRDefault="00D13D42" w:rsidP="00D13D42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Local autonomy.</w:t>
      </w:r>
    </w:p>
    <w:p w:rsidR="00D13D42" w:rsidRPr="00E20C44" w:rsidRDefault="00D13D42" w:rsidP="00E20C44">
      <w:pPr>
        <w:ind w:left="360"/>
        <w:jc w:val="both"/>
        <w:rPr>
          <w:lang w:val="en-GB"/>
        </w:rPr>
      </w:pPr>
    </w:p>
    <w:p w:rsidR="00D13D42" w:rsidRDefault="00D13D42" w:rsidP="00D13D42">
      <w:pPr>
        <w:jc w:val="both"/>
        <w:rPr>
          <w:lang w:val="en-CA"/>
        </w:rPr>
      </w:pPr>
      <w:r>
        <w:rPr>
          <w:u w:val="single"/>
          <w:lang w:val="en-CA"/>
        </w:rPr>
        <w:t>Guiding principles</w:t>
      </w:r>
      <w:r>
        <w:rPr>
          <w:lang w:val="en-CA"/>
        </w:rPr>
        <w:t xml:space="preserve"> </w:t>
      </w:r>
    </w:p>
    <w:p w:rsidR="00D13D42" w:rsidRDefault="00D13D42" w:rsidP="00D13D42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GB"/>
        </w:rPr>
        <w:t>Partner associations collaboration,</w:t>
      </w:r>
    </w:p>
    <w:p w:rsidR="00D13D42" w:rsidRDefault="00D13D42" w:rsidP="00D13D42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GB"/>
        </w:rPr>
        <w:t>Locally driven decision-making,</w:t>
      </w:r>
    </w:p>
    <w:p w:rsidR="00D13D42" w:rsidRDefault="00D13D42" w:rsidP="00D13D42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GB"/>
        </w:rPr>
        <w:t>Development of a common, operational, flexible, provincial framework that produces opportunity for locally driven public sector comparators and salary range,</w:t>
      </w:r>
    </w:p>
    <w:p w:rsidR="00D13D42" w:rsidRDefault="00D13D42" w:rsidP="00D13D42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GB"/>
        </w:rPr>
        <w:t>Recognition of the school board as the employer and;</w:t>
      </w:r>
    </w:p>
    <w:p w:rsidR="00D13D42" w:rsidRDefault="00D13D42" w:rsidP="00D13D42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GB"/>
        </w:rPr>
        <w:t xml:space="preserve">Expertise of </w:t>
      </w:r>
      <w:r w:rsidR="005D6E7B">
        <w:rPr>
          <w:lang w:val="en-GB"/>
        </w:rPr>
        <w:t xml:space="preserve">Mercer Consulting compensation specialists, </w:t>
      </w:r>
      <w:r>
        <w:rPr>
          <w:lang w:val="en-GB"/>
        </w:rPr>
        <w:t xml:space="preserve">a third party neutral expert to overlay the parameters of the Regulation on the research that </w:t>
      </w:r>
      <w:r w:rsidR="005D6E7B">
        <w:rPr>
          <w:lang w:val="en-GB"/>
        </w:rPr>
        <w:t xml:space="preserve">was </w:t>
      </w:r>
      <w:r>
        <w:rPr>
          <w:lang w:val="en-GB"/>
        </w:rPr>
        <w:t xml:space="preserve">previously completed for directors and supervisory officer compensation. </w:t>
      </w:r>
    </w:p>
    <w:p w:rsidR="00D13D42" w:rsidRDefault="00D13D42" w:rsidP="00D13D42">
      <w:pPr>
        <w:jc w:val="both"/>
        <w:rPr>
          <w:lang w:val="en-GB"/>
        </w:rPr>
      </w:pPr>
    </w:p>
    <w:p w:rsidR="00D240AA" w:rsidRPr="00D240AA" w:rsidRDefault="00D240AA" w:rsidP="00D13D42">
      <w:pPr>
        <w:jc w:val="both"/>
        <w:rPr>
          <w:b/>
          <w:u w:val="single"/>
          <w:lang w:val="en-GB"/>
        </w:rPr>
      </w:pPr>
      <w:r w:rsidRPr="00D240AA">
        <w:rPr>
          <w:b/>
          <w:u w:val="single"/>
          <w:lang w:val="en-GB"/>
        </w:rPr>
        <w:t>Progress Report</w:t>
      </w:r>
    </w:p>
    <w:p w:rsidR="00F1555C" w:rsidRDefault="005D6E7B" w:rsidP="00D13D42">
      <w:pPr>
        <w:jc w:val="both"/>
        <w:rPr>
          <w:lang w:val="en-GB"/>
        </w:rPr>
      </w:pPr>
      <w:r>
        <w:rPr>
          <w:lang w:val="en-GB"/>
        </w:rPr>
        <w:t>B</w:t>
      </w:r>
      <w:r w:rsidR="00D13D42">
        <w:rPr>
          <w:lang w:val="en-GB"/>
        </w:rPr>
        <w:t>eing mindful of the compliance deadline</w:t>
      </w:r>
      <w:r>
        <w:rPr>
          <w:lang w:val="en-GB"/>
        </w:rPr>
        <w:t xml:space="preserve"> of September 2017 for school boards</w:t>
      </w:r>
      <w:r w:rsidR="00D13D42">
        <w:rPr>
          <w:lang w:val="en-GB"/>
        </w:rPr>
        <w:t xml:space="preserve">, work is </w:t>
      </w:r>
      <w:r>
        <w:rPr>
          <w:lang w:val="en-GB"/>
        </w:rPr>
        <w:t xml:space="preserve">well </w:t>
      </w:r>
      <w:r w:rsidR="00D13D42">
        <w:rPr>
          <w:lang w:val="en-GB"/>
        </w:rPr>
        <w:t>underway</w:t>
      </w:r>
      <w:r>
        <w:rPr>
          <w:lang w:val="en-GB"/>
        </w:rPr>
        <w:t>.</w:t>
      </w:r>
    </w:p>
    <w:p w:rsidR="00F1555C" w:rsidRDefault="005D6E7B" w:rsidP="00D13D42">
      <w:pPr>
        <w:jc w:val="both"/>
        <w:rPr>
          <w:lang w:val="en-GB"/>
        </w:rPr>
      </w:pPr>
      <w:r>
        <w:rPr>
          <w:lang w:val="en-GB"/>
        </w:rPr>
        <w:t>The Steering Committee has held two meetings and several discussions as we move the work forward in consultation with both the Mercer specialists and Treasury representatives.</w:t>
      </w:r>
      <w:r w:rsidR="00D13D42">
        <w:rPr>
          <w:lang w:val="en-GB"/>
        </w:rPr>
        <w:t xml:space="preserve"> </w:t>
      </w:r>
      <w:r>
        <w:rPr>
          <w:lang w:val="en-GB"/>
        </w:rPr>
        <w:t>Two more meetings are planned along with teleconferences</w:t>
      </w:r>
      <w:r w:rsidR="00DC3685">
        <w:rPr>
          <w:lang w:val="en-GB"/>
        </w:rPr>
        <w:t>,</w:t>
      </w:r>
      <w:r>
        <w:rPr>
          <w:lang w:val="en-GB"/>
        </w:rPr>
        <w:t xml:space="preserve"> where necessary</w:t>
      </w:r>
      <w:r w:rsidR="00445334">
        <w:rPr>
          <w:lang w:val="en-GB"/>
        </w:rPr>
        <w:t xml:space="preserve"> with a focus on</w:t>
      </w:r>
      <w:r w:rsidR="00D622B1">
        <w:rPr>
          <w:lang w:val="en-GB"/>
        </w:rPr>
        <w:t xml:space="preserve"> sharing</w:t>
      </w:r>
      <w:r>
        <w:rPr>
          <w:lang w:val="en-GB"/>
        </w:rPr>
        <w:t xml:space="preserve"> </w:t>
      </w:r>
      <w:r w:rsidR="00F3356C">
        <w:rPr>
          <w:lang w:val="en-GB"/>
        </w:rPr>
        <w:t>a completed Executive Compensation Framework package</w:t>
      </w:r>
      <w:r w:rsidR="00D622B1">
        <w:rPr>
          <w:lang w:val="en-GB"/>
        </w:rPr>
        <w:t xml:space="preserve"> with boards in March</w:t>
      </w:r>
      <w:r w:rsidR="00E96487">
        <w:rPr>
          <w:lang w:val="en-GB"/>
        </w:rPr>
        <w:t xml:space="preserve">. </w:t>
      </w:r>
    </w:p>
    <w:p w:rsidR="00F1555C" w:rsidRDefault="00F1555C">
      <w:pPr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:rsidR="00D622B1" w:rsidRDefault="00F3356C" w:rsidP="00D13D42">
      <w:pPr>
        <w:jc w:val="both"/>
        <w:rPr>
          <w:lang w:val="en-GB"/>
        </w:rPr>
      </w:pPr>
      <w:r>
        <w:rPr>
          <w:lang w:val="en-GB"/>
        </w:rPr>
        <w:lastRenderedPageBreak/>
        <w:t xml:space="preserve">March was selected to give boards </w:t>
      </w:r>
      <w:r w:rsidR="00E96487">
        <w:rPr>
          <w:lang w:val="en-GB"/>
        </w:rPr>
        <w:t xml:space="preserve">as much time as possible </w:t>
      </w:r>
      <w:r>
        <w:rPr>
          <w:lang w:val="en-GB"/>
        </w:rPr>
        <w:t>to</w:t>
      </w:r>
      <w:r w:rsidR="00D622B1">
        <w:rPr>
          <w:lang w:val="en-GB"/>
        </w:rPr>
        <w:t>:</w:t>
      </w:r>
    </w:p>
    <w:p w:rsidR="00D622B1" w:rsidRDefault="00F3356C" w:rsidP="0066564A">
      <w:pPr>
        <w:pStyle w:val="ListParagraph"/>
        <w:numPr>
          <w:ilvl w:val="0"/>
          <w:numId w:val="4"/>
        </w:numPr>
        <w:jc w:val="both"/>
        <w:rPr>
          <w:lang w:val="en-GB"/>
        </w:rPr>
      </w:pPr>
      <w:r w:rsidRPr="00D622B1">
        <w:rPr>
          <w:lang w:val="en-GB"/>
        </w:rPr>
        <w:t>work on their local Executive Compensation Plans between April and June</w:t>
      </w:r>
      <w:r w:rsidR="00D622B1">
        <w:rPr>
          <w:lang w:val="en-GB"/>
        </w:rPr>
        <w:t>,</w:t>
      </w:r>
    </w:p>
    <w:p w:rsidR="00D622B1" w:rsidRDefault="00F3356C" w:rsidP="0066564A">
      <w:pPr>
        <w:pStyle w:val="ListParagraph"/>
        <w:numPr>
          <w:ilvl w:val="0"/>
          <w:numId w:val="4"/>
        </w:numPr>
        <w:jc w:val="both"/>
        <w:rPr>
          <w:lang w:val="en-GB"/>
        </w:rPr>
      </w:pPr>
      <w:r w:rsidRPr="00D622B1">
        <w:rPr>
          <w:lang w:val="en-GB"/>
        </w:rPr>
        <w:t xml:space="preserve"> post the plan on a public website for 30 days</w:t>
      </w:r>
      <w:r w:rsidR="00D622B1">
        <w:rPr>
          <w:lang w:val="en-GB"/>
        </w:rPr>
        <w:t>, and;</w:t>
      </w:r>
    </w:p>
    <w:p w:rsidR="00D13D42" w:rsidRPr="00D622B1" w:rsidRDefault="00F3356C" w:rsidP="0066564A">
      <w:pPr>
        <w:pStyle w:val="ListParagraph"/>
        <w:numPr>
          <w:ilvl w:val="0"/>
          <w:numId w:val="4"/>
        </w:numPr>
        <w:jc w:val="both"/>
        <w:rPr>
          <w:lang w:val="en-GB"/>
        </w:rPr>
      </w:pPr>
      <w:proofErr w:type="gramStart"/>
      <w:r w:rsidRPr="00D622B1">
        <w:rPr>
          <w:lang w:val="en-GB"/>
        </w:rPr>
        <w:t>collect</w:t>
      </w:r>
      <w:proofErr w:type="gramEnd"/>
      <w:r w:rsidRPr="00D622B1">
        <w:rPr>
          <w:lang w:val="en-GB"/>
        </w:rPr>
        <w:t xml:space="preserve"> the feedback and post the final plan by the deadline date of September 5, 2017. </w:t>
      </w:r>
    </w:p>
    <w:p w:rsidR="00D13D42" w:rsidRDefault="00D13D42" w:rsidP="00D13D42">
      <w:pPr>
        <w:jc w:val="both"/>
        <w:rPr>
          <w:lang w:val="en-GB"/>
        </w:rPr>
      </w:pPr>
    </w:p>
    <w:p w:rsidR="00DC3685" w:rsidRDefault="00D13D42" w:rsidP="00D13D42">
      <w:pPr>
        <w:jc w:val="both"/>
        <w:rPr>
          <w:lang w:val="en-GB"/>
        </w:rPr>
      </w:pPr>
      <w:r>
        <w:rPr>
          <w:lang w:val="en-GB"/>
        </w:rPr>
        <w:t>Since Mercer</w:t>
      </w:r>
      <w:r w:rsidR="00D622B1">
        <w:rPr>
          <w:lang w:val="en-GB"/>
        </w:rPr>
        <w:t>’</w:t>
      </w:r>
      <w:r>
        <w:rPr>
          <w:lang w:val="en-GB"/>
        </w:rPr>
        <w:t>s is the organization that developed the original Executive Compensation framework for CODE, </w:t>
      </w:r>
      <w:r w:rsidR="00E96487">
        <w:rPr>
          <w:lang w:val="en-GB"/>
        </w:rPr>
        <w:t xml:space="preserve">the Steering </w:t>
      </w:r>
      <w:proofErr w:type="spellStart"/>
      <w:r w:rsidR="00E96487">
        <w:rPr>
          <w:lang w:val="en-GB"/>
        </w:rPr>
        <w:t>Committtee</w:t>
      </w:r>
      <w:proofErr w:type="spellEnd"/>
      <w:r w:rsidR="00E96487">
        <w:rPr>
          <w:lang w:val="en-GB"/>
        </w:rPr>
        <w:t xml:space="preserve"> agreed to continue to work with </w:t>
      </w:r>
      <w:r w:rsidR="00DC3685">
        <w:rPr>
          <w:lang w:val="en-GB"/>
        </w:rPr>
        <w:t>Mercer</w:t>
      </w:r>
      <w:r w:rsidR="00E96487">
        <w:rPr>
          <w:lang w:val="en-GB"/>
        </w:rPr>
        <w:t xml:space="preserve"> compensation specialists </w:t>
      </w:r>
      <w:r>
        <w:rPr>
          <w:lang w:val="en-GB"/>
        </w:rPr>
        <w:t xml:space="preserve">to develop a new provincial </w:t>
      </w:r>
      <w:r w:rsidR="00DC3685">
        <w:rPr>
          <w:lang w:val="en-GB"/>
        </w:rPr>
        <w:t xml:space="preserve">executive compensation </w:t>
      </w:r>
      <w:r>
        <w:rPr>
          <w:lang w:val="en-GB"/>
        </w:rPr>
        <w:t>framework</w:t>
      </w:r>
      <w:r w:rsidR="00DC3685">
        <w:rPr>
          <w:lang w:val="en-GB"/>
        </w:rPr>
        <w:t xml:space="preserve"> consistent with</w:t>
      </w:r>
      <w:r>
        <w:rPr>
          <w:lang w:val="en-GB"/>
        </w:rPr>
        <w:t xml:space="preserve"> </w:t>
      </w:r>
      <w:r w:rsidR="00DC3685">
        <w:rPr>
          <w:lang w:val="en-GB"/>
        </w:rPr>
        <w:t xml:space="preserve">effective compensation practice  and </w:t>
      </w:r>
      <w:r>
        <w:rPr>
          <w:lang w:val="en-GB"/>
        </w:rPr>
        <w:t xml:space="preserve">compliant with the Executive </w:t>
      </w:r>
      <w:r w:rsidR="00E96487">
        <w:rPr>
          <w:lang w:val="en-GB"/>
        </w:rPr>
        <w:t xml:space="preserve">Compensation Act and Regulation. </w:t>
      </w:r>
      <w:r w:rsidR="00F009D2">
        <w:rPr>
          <w:lang w:val="en-GB"/>
        </w:rPr>
        <w:t xml:space="preserve">To help inform their work, </w:t>
      </w:r>
      <w:r w:rsidR="00DC3685">
        <w:rPr>
          <w:lang w:val="en-GB"/>
        </w:rPr>
        <w:t>i</w:t>
      </w:r>
      <w:r w:rsidR="00E96487">
        <w:rPr>
          <w:lang w:val="en-GB"/>
        </w:rPr>
        <w:t>t is understood t</w:t>
      </w:r>
      <w:r>
        <w:rPr>
          <w:lang w:val="en-GB"/>
        </w:rPr>
        <w:t xml:space="preserve">hat </w:t>
      </w:r>
      <w:r w:rsidR="00E96487">
        <w:rPr>
          <w:lang w:val="en-GB"/>
        </w:rPr>
        <w:t>Mercer’s consultants</w:t>
      </w:r>
      <w:r>
        <w:rPr>
          <w:lang w:val="en-GB"/>
        </w:rPr>
        <w:t xml:space="preserve"> will use the original executive compensation fram</w:t>
      </w:r>
      <w:r w:rsidR="00BD5CB6">
        <w:rPr>
          <w:lang w:val="en-GB"/>
        </w:rPr>
        <w:t xml:space="preserve">ework </w:t>
      </w:r>
      <w:r w:rsidR="00E96487">
        <w:rPr>
          <w:lang w:val="en-GB"/>
        </w:rPr>
        <w:t xml:space="preserve">developed </w:t>
      </w:r>
      <w:r w:rsidR="00F009D2">
        <w:rPr>
          <w:lang w:val="en-GB"/>
        </w:rPr>
        <w:t>for directors prior to the BPS legislation</w:t>
      </w:r>
      <w:r w:rsidR="00DC3685">
        <w:rPr>
          <w:lang w:val="en-GB"/>
        </w:rPr>
        <w:t>.</w:t>
      </w:r>
    </w:p>
    <w:p w:rsidR="00DC3685" w:rsidRDefault="00DC3685" w:rsidP="00D13D42">
      <w:pPr>
        <w:jc w:val="both"/>
        <w:rPr>
          <w:lang w:val="en-GB"/>
        </w:rPr>
      </w:pPr>
    </w:p>
    <w:p w:rsidR="00F009D2" w:rsidRDefault="00DC3685" w:rsidP="00D13D42">
      <w:pPr>
        <w:jc w:val="both"/>
        <w:rPr>
          <w:lang w:val="en-GB"/>
        </w:rPr>
      </w:pPr>
      <w:r>
        <w:rPr>
          <w:lang w:val="en-GB"/>
        </w:rPr>
        <w:t>The Steering Committee</w:t>
      </w:r>
      <w:r w:rsidR="00E20C44">
        <w:rPr>
          <w:lang w:val="en-GB"/>
        </w:rPr>
        <w:t>, working with Mercer</w:t>
      </w:r>
      <w:r w:rsidR="00D622B1">
        <w:rPr>
          <w:lang w:val="en-GB"/>
        </w:rPr>
        <w:t>’</w:t>
      </w:r>
      <w:r w:rsidR="00E20C44">
        <w:rPr>
          <w:lang w:val="en-GB"/>
        </w:rPr>
        <w:t>s and with advice from Treasury,</w:t>
      </w:r>
      <w:r>
        <w:rPr>
          <w:lang w:val="en-GB"/>
        </w:rPr>
        <w:t xml:space="preserve"> agreed to create: a common provincial framework</w:t>
      </w:r>
      <w:r w:rsidR="00A6637D">
        <w:rPr>
          <w:lang w:val="en-GB"/>
        </w:rPr>
        <w:t>,</w:t>
      </w:r>
      <w:r>
        <w:rPr>
          <w:lang w:val="en-GB"/>
        </w:rPr>
        <w:t xml:space="preserve"> compensation plan content</w:t>
      </w:r>
      <w:r w:rsidR="00A6637D">
        <w:rPr>
          <w:lang w:val="en-GB"/>
        </w:rPr>
        <w:t xml:space="preserve"> and implementation tools</w:t>
      </w:r>
      <w:r>
        <w:rPr>
          <w:lang w:val="en-GB"/>
        </w:rPr>
        <w:t>; a compensation philosophy; and a simple communications, posting and consultation strategy.</w:t>
      </w:r>
    </w:p>
    <w:p w:rsidR="00E20C44" w:rsidRDefault="00E20C44" w:rsidP="00D13D42">
      <w:pPr>
        <w:jc w:val="both"/>
        <w:rPr>
          <w:b/>
          <w:lang w:val="en-GB"/>
        </w:rPr>
      </w:pPr>
    </w:p>
    <w:p w:rsidR="00E20C44" w:rsidRDefault="00E20C44" w:rsidP="00D13D42">
      <w:pPr>
        <w:jc w:val="both"/>
        <w:rPr>
          <w:lang w:val="en-GB"/>
        </w:rPr>
      </w:pPr>
      <w:r>
        <w:rPr>
          <w:lang w:val="en-GB"/>
        </w:rPr>
        <w:t xml:space="preserve">Progress reports will be provided as the Steering Committee work </w:t>
      </w:r>
      <w:proofErr w:type="gramStart"/>
      <w:r>
        <w:rPr>
          <w:lang w:val="en-GB"/>
        </w:rPr>
        <w:t>progresses</w:t>
      </w:r>
      <w:r w:rsidR="00091885">
        <w:rPr>
          <w:lang w:val="en-GB"/>
        </w:rPr>
        <w:t xml:space="preserve"> </w:t>
      </w:r>
      <w:r>
        <w:rPr>
          <w:lang w:val="en-GB"/>
        </w:rPr>
        <w:t>.</w:t>
      </w:r>
      <w:proofErr w:type="gramEnd"/>
      <w:r>
        <w:rPr>
          <w:lang w:val="en-GB"/>
        </w:rPr>
        <w:t xml:space="preserve"> </w:t>
      </w:r>
      <w:bookmarkStart w:id="0" w:name="_GoBack"/>
      <w:bookmarkEnd w:id="0"/>
    </w:p>
    <w:p w:rsidR="00E20C44" w:rsidRPr="00E20C44" w:rsidRDefault="00E20C44" w:rsidP="00D13D42">
      <w:pPr>
        <w:jc w:val="both"/>
        <w:rPr>
          <w:lang w:val="en-GB"/>
        </w:rPr>
      </w:pPr>
    </w:p>
    <w:p w:rsidR="00D13D42" w:rsidRPr="00122917" w:rsidRDefault="00122917" w:rsidP="00D13D42">
      <w:pPr>
        <w:jc w:val="both"/>
        <w:rPr>
          <w:b/>
          <w:lang w:val="en-GB"/>
        </w:rPr>
      </w:pPr>
      <w:r w:rsidRPr="00122917">
        <w:rPr>
          <w:b/>
          <w:lang w:val="en-GB"/>
        </w:rPr>
        <w:t>Action:</w:t>
      </w:r>
    </w:p>
    <w:p w:rsidR="00122917" w:rsidRDefault="00122917" w:rsidP="00D13D42">
      <w:pPr>
        <w:jc w:val="both"/>
        <w:rPr>
          <w:lang w:val="en-GB"/>
        </w:rPr>
      </w:pPr>
      <w:r>
        <w:rPr>
          <w:lang w:val="en-GB"/>
        </w:rPr>
        <w:t xml:space="preserve">This report is provided for </w:t>
      </w:r>
      <w:r w:rsidR="00E20C44">
        <w:rPr>
          <w:lang w:val="en-GB"/>
        </w:rPr>
        <w:t>i</w:t>
      </w:r>
      <w:r w:rsidR="00D240AA">
        <w:rPr>
          <w:lang w:val="en-GB"/>
        </w:rPr>
        <w:t>nformation</w:t>
      </w:r>
      <w:r>
        <w:rPr>
          <w:lang w:val="en-GB"/>
        </w:rPr>
        <w:t>.</w:t>
      </w:r>
    </w:p>
    <w:p w:rsidR="00D13D42" w:rsidRDefault="00D13D42" w:rsidP="00D13D42">
      <w:pPr>
        <w:jc w:val="both"/>
        <w:rPr>
          <w:lang w:val="en-GB"/>
        </w:rPr>
      </w:pPr>
    </w:p>
    <w:p w:rsidR="00D13D42" w:rsidRDefault="00D13D42" w:rsidP="00D13D42">
      <w:pPr>
        <w:jc w:val="both"/>
        <w:rPr>
          <w:lang w:val="en-GB"/>
        </w:rPr>
      </w:pPr>
    </w:p>
    <w:p w:rsidR="00BD5FDD" w:rsidRDefault="00BD5FDD" w:rsidP="00D13D42">
      <w:pPr>
        <w:jc w:val="both"/>
        <w:rPr>
          <w:lang w:val="en-GB"/>
        </w:rPr>
      </w:pPr>
      <w:r>
        <w:rPr>
          <w:lang w:val="en-GB"/>
        </w:rPr>
        <w:t xml:space="preserve">Gail Anderson, OPSBA Executive Director </w:t>
      </w:r>
    </w:p>
    <w:p w:rsidR="00BD5FDD" w:rsidRDefault="00BD5FDD" w:rsidP="00D13D42">
      <w:pPr>
        <w:jc w:val="both"/>
        <w:rPr>
          <w:lang w:val="en-GB"/>
        </w:rPr>
      </w:pPr>
      <w:r>
        <w:rPr>
          <w:lang w:val="en-GB"/>
        </w:rPr>
        <w:t>Chair,</w:t>
      </w:r>
    </w:p>
    <w:p w:rsidR="00D13D42" w:rsidRDefault="00BD5FDD" w:rsidP="00D13D42">
      <w:pPr>
        <w:jc w:val="both"/>
        <w:rPr>
          <w:lang w:val="en-GB"/>
        </w:rPr>
      </w:pPr>
      <w:r>
        <w:rPr>
          <w:lang w:val="en-GB"/>
        </w:rPr>
        <w:t>Executive Compensation Steering Committee</w:t>
      </w:r>
    </w:p>
    <w:p w:rsidR="00BD5FDD" w:rsidRDefault="00BD5FDD" w:rsidP="00D13D42">
      <w:pPr>
        <w:jc w:val="both"/>
        <w:rPr>
          <w:lang w:val="en-GB"/>
        </w:rPr>
      </w:pPr>
    </w:p>
    <w:p w:rsidR="00D13D42" w:rsidRDefault="00D13D42" w:rsidP="00D13D42">
      <w:pPr>
        <w:jc w:val="both"/>
        <w:rPr>
          <w:lang w:val="en-GB"/>
        </w:rPr>
      </w:pPr>
    </w:p>
    <w:p w:rsidR="00D13D42" w:rsidRDefault="00D13D42" w:rsidP="00D13D42">
      <w:pPr>
        <w:jc w:val="both"/>
        <w:rPr>
          <w:lang w:val="en-GB"/>
        </w:rPr>
      </w:pPr>
    </w:p>
    <w:p w:rsidR="00D13D42" w:rsidRDefault="00D13D42" w:rsidP="00D13D42">
      <w:pPr>
        <w:jc w:val="both"/>
        <w:rPr>
          <w:lang w:val="en-GB"/>
        </w:rPr>
      </w:pPr>
    </w:p>
    <w:p w:rsidR="00D13D42" w:rsidRDefault="00D13D42" w:rsidP="00D13D42">
      <w:pPr>
        <w:jc w:val="both"/>
        <w:rPr>
          <w:lang w:val="en-GB"/>
        </w:rPr>
      </w:pPr>
    </w:p>
    <w:p w:rsidR="00D13D42" w:rsidRDefault="00D13D42" w:rsidP="00D13D42">
      <w:pPr>
        <w:pStyle w:val="ListParagraph"/>
        <w:jc w:val="both"/>
        <w:rPr>
          <w:lang w:val="en-CA"/>
        </w:rPr>
      </w:pPr>
    </w:p>
    <w:p w:rsidR="00C409BD" w:rsidRDefault="00C409BD"/>
    <w:sectPr w:rsidR="00C409BD" w:rsidSect="0012291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057" w:rsidRDefault="000D7057" w:rsidP="00D13D42">
      <w:r>
        <w:separator/>
      </w:r>
    </w:p>
  </w:endnote>
  <w:endnote w:type="continuationSeparator" w:id="0">
    <w:p w:rsidR="000D7057" w:rsidRDefault="000D7057" w:rsidP="00D1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Athelas Bold Ital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057" w:rsidRDefault="000D7057" w:rsidP="00D13D42">
      <w:r>
        <w:separator/>
      </w:r>
    </w:p>
  </w:footnote>
  <w:footnote w:type="continuationSeparator" w:id="0">
    <w:p w:rsidR="000D7057" w:rsidRDefault="000D7057" w:rsidP="00D13D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id w:val="-1068958623"/>
      <w:docPartObj>
        <w:docPartGallery w:val="Watermarks"/>
        <w:docPartUnique/>
      </w:docPartObj>
    </w:sdtPr>
    <w:sdtEndPr/>
    <w:sdtContent>
      <w:p w:rsidR="00D13D42" w:rsidRDefault="00091885">
        <w:pPr>
          <w:pStyle w:val="Header"/>
        </w:pPr>
        <w:r>
          <w:rPr>
            <w:noProof/>
          </w:rPr>
          <w:pict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4768158" o:spid="_x0000_s2049" type="#_x0000_t136" style="position:absolute;margin-left:0;margin-top:0;width:527.9pt;height:131.95pt;rotation:315;z-index:-251658752;mso-position-horizontal:center;mso-position-horizontal-relative:margin;mso-position-vertical:center;mso-position-vertical-relative:margin" o:allowincell="f" fillcolor="#d8d8d8 [2732]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0089"/>
    <w:multiLevelType w:val="hybridMultilevel"/>
    <w:tmpl w:val="87C65C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490655"/>
    <w:multiLevelType w:val="hybridMultilevel"/>
    <w:tmpl w:val="23E20D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70827"/>
    <w:multiLevelType w:val="hybridMultilevel"/>
    <w:tmpl w:val="D7E29586"/>
    <w:lvl w:ilvl="0" w:tplc="10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D42"/>
    <w:rsid w:val="00074D1F"/>
    <w:rsid w:val="00091885"/>
    <w:rsid w:val="000D7057"/>
    <w:rsid w:val="00122917"/>
    <w:rsid w:val="0017343D"/>
    <w:rsid w:val="00187DD4"/>
    <w:rsid w:val="003F3F7E"/>
    <w:rsid w:val="00445334"/>
    <w:rsid w:val="004E155C"/>
    <w:rsid w:val="005A530D"/>
    <w:rsid w:val="005B7DBF"/>
    <w:rsid w:val="005D6E7B"/>
    <w:rsid w:val="006471AF"/>
    <w:rsid w:val="0066564A"/>
    <w:rsid w:val="006B482F"/>
    <w:rsid w:val="007179D0"/>
    <w:rsid w:val="007B6094"/>
    <w:rsid w:val="00947A98"/>
    <w:rsid w:val="00A11FC1"/>
    <w:rsid w:val="00A6637D"/>
    <w:rsid w:val="00BD5CB6"/>
    <w:rsid w:val="00BD5FDD"/>
    <w:rsid w:val="00C409BD"/>
    <w:rsid w:val="00D13D42"/>
    <w:rsid w:val="00D240AA"/>
    <w:rsid w:val="00D622B1"/>
    <w:rsid w:val="00DC3685"/>
    <w:rsid w:val="00E14899"/>
    <w:rsid w:val="00E20C44"/>
    <w:rsid w:val="00E37742"/>
    <w:rsid w:val="00E75A58"/>
    <w:rsid w:val="00E96487"/>
    <w:rsid w:val="00F009D2"/>
    <w:rsid w:val="00F1555C"/>
    <w:rsid w:val="00F3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42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D13D42"/>
    <w:pPr>
      <w:keepNext/>
      <w:outlineLvl w:val="0"/>
    </w:pPr>
    <w:rPr>
      <w:rFonts w:ascii="Times New Roman" w:eastAsia="Times New Roman" w:hAnsi="Times New Roman" w:cs="Times New Roman"/>
      <w:b/>
      <w:bCs/>
      <w:iCs/>
      <w:sz w:val="28"/>
      <w:szCs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D42"/>
    <w:pPr>
      <w:ind w:left="720"/>
    </w:pPr>
  </w:style>
  <w:style w:type="character" w:customStyle="1" w:styleId="Heading1Char">
    <w:name w:val="Heading 1 Char"/>
    <w:basedOn w:val="DefaultParagraphFont"/>
    <w:link w:val="Heading1"/>
    <w:rsid w:val="00D13D42"/>
    <w:rPr>
      <w:rFonts w:ascii="Times New Roman" w:eastAsia="Times New Roman" w:hAnsi="Times New Roman" w:cs="Times New Roman"/>
      <w:b/>
      <w:bCs/>
      <w:iCs/>
      <w:sz w:val="28"/>
      <w:szCs w:val="24"/>
      <w:u w:val="single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D13D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D4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13D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D42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F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42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D13D42"/>
    <w:pPr>
      <w:keepNext/>
      <w:outlineLvl w:val="0"/>
    </w:pPr>
    <w:rPr>
      <w:rFonts w:ascii="Times New Roman" w:eastAsia="Times New Roman" w:hAnsi="Times New Roman" w:cs="Times New Roman"/>
      <w:b/>
      <w:bCs/>
      <w:iCs/>
      <w:sz w:val="28"/>
      <w:szCs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D42"/>
    <w:pPr>
      <w:ind w:left="720"/>
    </w:pPr>
  </w:style>
  <w:style w:type="character" w:customStyle="1" w:styleId="Heading1Char">
    <w:name w:val="Heading 1 Char"/>
    <w:basedOn w:val="DefaultParagraphFont"/>
    <w:link w:val="Heading1"/>
    <w:rsid w:val="00D13D42"/>
    <w:rPr>
      <w:rFonts w:ascii="Times New Roman" w:eastAsia="Times New Roman" w:hAnsi="Times New Roman" w:cs="Times New Roman"/>
      <w:b/>
      <w:bCs/>
      <w:iCs/>
      <w:sz w:val="28"/>
      <w:szCs w:val="24"/>
      <w:u w:val="single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D13D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D4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13D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D42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0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175BA-AD0A-134A-9D0F-F9FE33E4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3422</Characters>
  <Application>Microsoft Macintosh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Hayes</dc:creator>
  <cp:lastModifiedBy>Frank Kelly</cp:lastModifiedBy>
  <cp:revision>2</cp:revision>
  <cp:lastPrinted>2017-02-03T17:04:00Z</cp:lastPrinted>
  <dcterms:created xsi:type="dcterms:W3CDTF">2017-02-03T21:40:00Z</dcterms:created>
  <dcterms:modified xsi:type="dcterms:W3CDTF">2017-02-03T21:40:00Z</dcterms:modified>
</cp:coreProperties>
</file>